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D33" w14:textId="40F05C79" w:rsidR="00885CBE" w:rsidRDefault="00885CBE">
      <w:pPr>
        <w:rPr>
          <w:rFonts w:ascii="微软雅黑" w:eastAsia="微软雅黑" w:hAnsi="微软雅黑"/>
          <w:color w:val="000000"/>
          <w:sz w:val="39"/>
          <w:szCs w:val="39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9"/>
          <w:szCs w:val="39"/>
          <w:shd w:val="clear" w:color="auto" w:fill="FFFFFF"/>
        </w:rPr>
        <w:t>石家庄市促进交通运输发展的六条政策措施</w:t>
      </w:r>
    </w:p>
    <w:p w14:paraId="2C68A805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一、加快在建项目建设进度</w:t>
      </w:r>
    </w:p>
    <w:p w14:paraId="46029392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实施项目建设劳动大竞赛，开足马力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加快津石高速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石家庄段收尾工程、省道S248正定段、省道S249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贾村至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灵寿县城段、省道S234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赵户村至东罗尚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段、省道S542赞皇段、复兴大街市政化改造等10个在建项目建设，形成更多实物工作量，早建成、早投运、早收益。〔市交通运输局、市国资委，各县（市、区）负责〕</w:t>
      </w:r>
    </w:p>
    <w:p w14:paraId="6BE41404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二、推动新开工项目尽早实施</w:t>
      </w:r>
    </w:p>
    <w:p w14:paraId="27E0BE56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加大项目前期工作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跑办力度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，保障用地要素支撑，确保石衡高速、国道G338无极绕城段、国道G308赵县绕城段、机场迎宾路、复兴大街市政化改造二期工程、北三环市政化改造等重点项目年内尽早开工，并力争形成更多实物工作量。做好石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太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高速改扩建的地方配合工作，助力项目尽快开工建设。启动新一轮农村公路建设和改造，在完成2022年目标任务基础上，再新增完成新改建82公里、实施安防工程125.2公里、改造危桥31座。轨道交通方面，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盯办国家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展改革委尽早批复石家庄城市轨道交通二期建设规划，争取2022年内部分项目开工。〔市交通运输局(其他交通运输项目)、市轨道办(轨道交通)、市城市更新促进中心（北三环市政化改造）、市自然资源和规划局、市国资委，各县（市、区）负责〕</w:t>
      </w:r>
    </w:p>
    <w:p w14:paraId="73F2BDD5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三、推进“十四五”时期成熟项目2022年内应开尽开、能开尽开。</w:t>
      </w:r>
    </w:p>
    <w:p w14:paraId="4269975B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全面梳理“十四五”项目，用足用好国家、省级政策措施，对投资规模大、回报周期长的经营性项目，采取特许经营方式投资建设，特许经营期限按收回投资并有合理回报的原则确定，吸引社会资本积极参与收费公路建设，力</w:t>
      </w: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争“十四五”后三年实施的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衡昔高速项目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年内具备开工条件。轨道交通方面，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跑办国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铁集团和国家有关部门，加快推进石雄城际前期工作，抓紧落实建设条件，力争在“十四五”及早实施。〔市交通运输局(其他交通运输项目)、市发展改革委(铁路项目)、市自然资源和规划局、市国资委，各县（市、区）负责〕</w:t>
      </w:r>
    </w:p>
    <w:p w14:paraId="67E04503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四、推动交通物流畅上加畅</w:t>
      </w:r>
    </w:p>
    <w:p w14:paraId="21C484D2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立足推动货运量增长，促进产业链、供应链稳定，对来自疫情低风险地区货运车辆的防疫通行限制全面取消，对来自或进出疫情中高风险地区所在地市的货运车辆落实“即采即走即追”制度。积极争取中央安排的支持全国性重点枢纽城市资金。用好交通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物流专项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再贷款政策。落实国家免征小规模纳税人增值税政策，对符合条件的小型货运企业免征增值税或暂停预缴增值税；落实对交通运输行业的增值税期末留抵退税政策。深入开展关心关爱货车司机行动，依法推行轻微免罚、首违不罚。依托“运证通”APP办理通行证，坚持能发尽发、应发尽发，实行全程线上无接触办理，纸质和电子通行证同等效力，跨省互认，快速通行。〔市交通运输局、市发展改革委、市财政局、市税务局，各县（市、区）负责〕</w:t>
      </w:r>
    </w:p>
    <w:p w14:paraId="0B282204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五、扎实</w:t>
      </w:r>
      <w:proofErr w:type="gramStart"/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推进路衍经济</w:t>
      </w:r>
      <w:proofErr w:type="gramEnd"/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发展</w:t>
      </w:r>
    </w:p>
    <w:p w14:paraId="1DADAFFF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加快实施高速公路服务区改造升级，积极发展旅游型、物流型、购物型等功能性服务区。充分利用高速公路服务区和收费站匝道圈等资源，建设物流转运中心或物流仓储中心，布局光伏发电项目。推动高速公路服务区充电设施全覆盖。盘活光纤通信管道资源，开展光纤通信管道租赁业务。鼓励支持桥下空</w:t>
      </w: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间资源利用。〔市交通运输局、市自然资源和规划局、市国资委、市通信发展办，各县（市、区）负责〕</w:t>
      </w:r>
    </w:p>
    <w:p w14:paraId="2B459A7C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六、加强资金保障</w:t>
      </w:r>
    </w:p>
    <w:p w14:paraId="28446083" w14:textId="77777777" w:rsidR="00885CBE" w:rsidRPr="00885CBE" w:rsidRDefault="00885CBE" w:rsidP="00885CBE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在防范债务风险的前提下，鼓励各县（市、区）政府依法合</w:t>
      </w:r>
      <w:proofErr w:type="gramStart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规</w:t>
      </w:r>
      <w:proofErr w:type="gramEnd"/>
      <w:r w:rsidRPr="00885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使用政府专项债券，支持符合条件的政府收费公路项目建设。鼓励建设单位运用基础设施领域不动产投资信托基金（REITs）等方式盘活存量资产。搞好银企和项目融资对接活动，引导金融机构做好融资服务。协调推动低利率贷款和存量债务低息置换高息。推动存量公路智能化改造、高速新增出入口等收入纳入收费标准动态调整范围。鼓励支持县（市、区）政府运用市场化手段拓宽融资渠道，解决配套建设资金筹措难题。〔市交通运输局、市发展改革委、市财政局、市地方金融监管局，各县（市、区）负责〕</w:t>
      </w:r>
    </w:p>
    <w:p w14:paraId="60186206" w14:textId="77777777" w:rsidR="00885CBE" w:rsidRPr="00885CBE" w:rsidRDefault="00885CBE">
      <w:pPr>
        <w:rPr>
          <w:rFonts w:hint="eastAsia"/>
        </w:rPr>
      </w:pPr>
    </w:p>
    <w:sectPr w:rsidR="00885CBE" w:rsidRPr="00885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E"/>
    <w:rsid w:val="008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8DDA"/>
  <w15:chartTrackingRefBased/>
  <w15:docId w15:val="{7B40D3C5-DE77-4DB5-B6A3-1E24927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2022-07-14T02:42:00Z</dcterms:created>
  <dcterms:modified xsi:type="dcterms:W3CDTF">2022-07-14T02:42:00Z</dcterms:modified>
</cp:coreProperties>
</file>